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276"/>
        <w:tblW w:w="17275" w:type="dxa"/>
        <w:tblLayout w:type="fixed"/>
        <w:tblCellMar>
          <w:top w:w="144" w:type="dxa"/>
          <w:left w:w="115" w:type="dxa"/>
          <w:bottom w:w="144" w:type="dxa"/>
          <w:right w:w="115" w:type="dxa"/>
        </w:tblCellMar>
        <w:tblLook w:val="01E0" w:firstRow="1" w:lastRow="1" w:firstColumn="1" w:lastColumn="1" w:noHBand="0" w:noVBand="0"/>
      </w:tblPr>
      <w:tblGrid>
        <w:gridCol w:w="1499"/>
        <w:gridCol w:w="3355"/>
        <w:gridCol w:w="1538"/>
        <w:gridCol w:w="1538"/>
        <w:gridCol w:w="1538"/>
        <w:gridCol w:w="1538"/>
        <w:gridCol w:w="1538"/>
        <w:gridCol w:w="1538"/>
        <w:gridCol w:w="3193"/>
      </w:tblGrid>
      <w:tr w:rsidR="00E36D54" w:rsidRPr="00E36D54" w14:paraId="10AAD271" w14:textId="681C446C" w:rsidTr="00876A99">
        <w:trPr>
          <w:trHeight w:val="364"/>
        </w:trPr>
        <w:tc>
          <w:tcPr>
            <w:tcW w:w="17275" w:type="dxa"/>
            <w:gridSpan w:val="9"/>
            <w:shd w:val="clear" w:color="auto" w:fill="403152" w:themeFill="accent4" w:themeFillShade="80"/>
            <w:tcMar>
              <w:left w:w="115" w:type="dxa"/>
            </w:tcMar>
          </w:tcPr>
          <w:p w14:paraId="1F79C8B1" w14:textId="607BEE89" w:rsidR="00E36D54" w:rsidRPr="00E36D54" w:rsidRDefault="00876A99" w:rsidP="00876A99">
            <w:pPr>
              <w:spacing w:after="0"/>
              <w:rPr>
                <w:rFonts w:eastAsia="Times New Roman" w:cstheme="minorHAnsi"/>
                <w:bCs/>
                <w:color w:val="FFFFFF" w:themeColor="background1"/>
              </w:rPr>
            </w:pPr>
            <w:bookmarkStart w:id="0" w:name="_GoBack"/>
            <w:bookmarkEnd w:id="0"/>
            <w:r>
              <w:rPr>
                <w:rFonts w:eastAsia="Times New Roman" w:cstheme="minorHAnsi"/>
                <w:bCs/>
                <w:color w:val="FFFFFF" w:themeColor="background1"/>
              </w:rPr>
              <w:t>Communication.AA</w:t>
            </w:r>
            <w:r w:rsidR="00E36D54" w:rsidRPr="00E36D54">
              <w:rPr>
                <w:rFonts w:eastAsia="Times New Roman" w:cstheme="minorHAnsi"/>
                <w:bCs/>
                <w:color w:val="FFFFFF" w:themeColor="background1"/>
              </w:rPr>
              <w:t xml:space="preserve">             AY19/20  Professional/Soft Skills               </w:t>
            </w:r>
            <w:r w:rsidR="00E36D54">
              <w:rPr>
                <w:rFonts w:eastAsia="Times New Roman" w:cstheme="minorHAnsi"/>
                <w:bCs/>
                <w:color w:val="FFFFFF" w:themeColor="background1"/>
              </w:rPr>
              <w:t xml:space="preserve"> </w:t>
            </w:r>
            <w:r w:rsidR="00E36D54" w:rsidRPr="00E36D54">
              <w:rPr>
                <w:rFonts w:eastAsia="Times New Roman" w:cstheme="minorHAnsi"/>
                <w:bCs/>
                <w:color w:val="FFFFFF" w:themeColor="background1"/>
              </w:rPr>
              <w:t xml:space="preserve">    </w:t>
            </w:r>
            <w:r w:rsidR="00E36D54">
              <w:rPr>
                <w:rFonts w:eastAsia="Times New Roman" w:cstheme="minorHAnsi"/>
                <w:bCs/>
                <w:color w:val="FFFFFF" w:themeColor="background1"/>
              </w:rPr>
              <w:t xml:space="preserve">- </w:t>
            </w:r>
          </w:p>
        </w:tc>
      </w:tr>
      <w:tr w:rsidR="00654D82" w:rsidRPr="00E36D54" w14:paraId="27A1119A" w14:textId="21D024D9" w:rsidTr="00876A99">
        <w:trPr>
          <w:trHeight w:val="989"/>
        </w:trPr>
        <w:tc>
          <w:tcPr>
            <w:tcW w:w="1499" w:type="dxa"/>
            <w:shd w:val="clear" w:color="auto" w:fill="A6A6A6" w:themeFill="background1" w:themeFillShade="A6"/>
            <w:tcMar>
              <w:left w:w="115" w:type="dxa"/>
            </w:tcMar>
            <w:vAlign w:val="center"/>
          </w:tcPr>
          <w:p w14:paraId="4AA607C4" w14:textId="268938B3" w:rsidR="00654D82" w:rsidRPr="00E36D54" w:rsidRDefault="00654D82" w:rsidP="00654D82">
            <w:pPr>
              <w:spacing w:after="0"/>
              <w:rPr>
                <w:rFonts w:cstheme="minorHAnsi"/>
                <w:b/>
                <w:color w:val="FFFFFF" w:themeColor="background1"/>
              </w:rPr>
            </w:pPr>
          </w:p>
        </w:tc>
        <w:tc>
          <w:tcPr>
            <w:tcW w:w="3356" w:type="dxa"/>
            <w:shd w:val="clear" w:color="auto" w:fill="A6A6A6" w:themeFill="background1" w:themeFillShade="A6"/>
            <w:tcMar>
              <w:left w:w="115" w:type="dxa"/>
            </w:tcMar>
            <w:vAlign w:val="center"/>
          </w:tcPr>
          <w:p w14:paraId="28AC114A" w14:textId="5434B3E8" w:rsidR="00654D82" w:rsidRPr="00E36D54" w:rsidRDefault="00E02ED5" w:rsidP="00654D82">
            <w:pPr>
              <w:spacing w:after="0"/>
              <w:rPr>
                <w:rFonts w:cstheme="minorHAnsi"/>
                <w:b/>
                <w:color w:val="000000" w:themeColor="text1"/>
              </w:rPr>
            </w:pPr>
            <w:r>
              <w:rPr>
                <w:rFonts w:cstheme="minorHAnsi"/>
                <w:b/>
                <w:color w:val="000000" w:themeColor="text1"/>
              </w:rPr>
              <w:t>COMM1010 Speech</w:t>
            </w:r>
          </w:p>
        </w:tc>
        <w:tc>
          <w:tcPr>
            <w:tcW w:w="1538" w:type="dxa"/>
            <w:shd w:val="clear" w:color="auto" w:fill="A6A6A6" w:themeFill="background1" w:themeFillShade="A6"/>
            <w:tcMar>
              <w:left w:w="115" w:type="dxa"/>
            </w:tcMar>
            <w:vAlign w:val="center"/>
          </w:tcPr>
          <w:p w14:paraId="21CE912E" w14:textId="5A8E66D9" w:rsidR="00654D82" w:rsidRPr="00E36D54" w:rsidRDefault="00654D82" w:rsidP="00654D82">
            <w:pPr>
              <w:spacing w:after="0"/>
              <w:rPr>
                <w:rFonts w:cstheme="minorHAnsi"/>
                <w:b/>
                <w:color w:val="000000" w:themeColor="text1"/>
              </w:rPr>
            </w:pPr>
          </w:p>
        </w:tc>
        <w:tc>
          <w:tcPr>
            <w:tcW w:w="1539" w:type="dxa"/>
            <w:shd w:val="clear" w:color="auto" w:fill="A6A6A6" w:themeFill="background1" w:themeFillShade="A6"/>
            <w:tcMar>
              <w:left w:w="115" w:type="dxa"/>
            </w:tcMar>
          </w:tcPr>
          <w:p w14:paraId="1A34D81B" w14:textId="513432D1" w:rsidR="007E1E24" w:rsidRPr="00E36D54" w:rsidRDefault="007E1E24" w:rsidP="00654D82">
            <w:pPr>
              <w:spacing w:after="0"/>
              <w:rPr>
                <w:rFonts w:cstheme="minorHAnsi"/>
                <w:b/>
                <w:color w:val="000000" w:themeColor="text1"/>
              </w:rPr>
            </w:pPr>
          </w:p>
        </w:tc>
        <w:tc>
          <w:tcPr>
            <w:tcW w:w="1539" w:type="dxa"/>
            <w:shd w:val="clear" w:color="auto" w:fill="A6A6A6" w:themeFill="background1" w:themeFillShade="A6"/>
            <w:tcMar>
              <w:left w:w="115" w:type="dxa"/>
            </w:tcMar>
          </w:tcPr>
          <w:p w14:paraId="4BCD7619" w14:textId="576823D9" w:rsidR="00654D82" w:rsidRPr="00E36D54" w:rsidRDefault="00654D82" w:rsidP="00654D82">
            <w:pPr>
              <w:spacing w:after="0"/>
              <w:rPr>
                <w:rFonts w:cstheme="minorHAnsi"/>
                <w:b/>
                <w:color w:val="000000" w:themeColor="text1"/>
              </w:rPr>
            </w:pPr>
          </w:p>
        </w:tc>
        <w:tc>
          <w:tcPr>
            <w:tcW w:w="1539" w:type="dxa"/>
            <w:shd w:val="clear" w:color="auto" w:fill="A6A6A6" w:themeFill="background1" w:themeFillShade="A6"/>
            <w:tcMar>
              <w:left w:w="115" w:type="dxa"/>
            </w:tcMar>
            <w:vAlign w:val="center"/>
          </w:tcPr>
          <w:p w14:paraId="24388708" w14:textId="2B9A3ECE" w:rsidR="00654D82" w:rsidRPr="00E36D54" w:rsidRDefault="00654D82" w:rsidP="00654D82">
            <w:pPr>
              <w:spacing w:after="0"/>
              <w:rPr>
                <w:rFonts w:cstheme="minorHAnsi"/>
                <w:b/>
                <w:color w:val="000000" w:themeColor="text1"/>
              </w:rPr>
            </w:pPr>
          </w:p>
        </w:tc>
        <w:tc>
          <w:tcPr>
            <w:tcW w:w="1539" w:type="dxa"/>
            <w:shd w:val="clear" w:color="auto" w:fill="A6A6A6" w:themeFill="background1" w:themeFillShade="A6"/>
          </w:tcPr>
          <w:p w14:paraId="278CB872" w14:textId="05C682F2" w:rsidR="00654D82" w:rsidRPr="00E36D54" w:rsidRDefault="00654D82" w:rsidP="00654D82">
            <w:pPr>
              <w:spacing w:after="0"/>
              <w:rPr>
                <w:rFonts w:cstheme="minorHAnsi"/>
                <w:b/>
                <w:color w:val="000000" w:themeColor="text1"/>
              </w:rPr>
            </w:pPr>
          </w:p>
        </w:tc>
        <w:tc>
          <w:tcPr>
            <w:tcW w:w="1539" w:type="dxa"/>
            <w:shd w:val="clear" w:color="auto" w:fill="A6A6A6" w:themeFill="background1" w:themeFillShade="A6"/>
          </w:tcPr>
          <w:p w14:paraId="56AC12AF" w14:textId="07B354BD" w:rsidR="00654D82" w:rsidRPr="00E36D54" w:rsidRDefault="00654D82" w:rsidP="00654D82">
            <w:pPr>
              <w:spacing w:after="0"/>
              <w:rPr>
                <w:rFonts w:cstheme="minorHAnsi"/>
                <w:b/>
                <w:color w:val="000000" w:themeColor="text1"/>
              </w:rPr>
            </w:pPr>
          </w:p>
        </w:tc>
        <w:tc>
          <w:tcPr>
            <w:tcW w:w="3187" w:type="dxa"/>
            <w:shd w:val="clear" w:color="auto" w:fill="A6A6A6" w:themeFill="background1" w:themeFillShade="A6"/>
          </w:tcPr>
          <w:p w14:paraId="49225466" w14:textId="34B9B50F" w:rsidR="00654D82" w:rsidRPr="00E36D54" w:rsidRDefault="007E1E24" w:rsidP="00654D82">
            <w:pPr>
              <w:spacing w:after="0"/>
              <w:rPr>
                <w:rFonts w:eastAsia="Times New Roman" w:cstheme="minorHAnsi"/>
                <w:bCs/>
              </w:rPr>
            </w:pPr>
            <w:r w:rsidRPr="00E36D54">
              <w:rPr>
                <w:rFonts w:eastAsia="Times New Roman" w:cstheme="minorHAnsi"/>
                <w:bCs/>
              </w:rPr>
              <w:t>Comments/Analysis</w:t>
            </w:r>
          </w:p>
        </w:tc>
      </w:tr>
      <w:tr w:rsidR="00654D82" w:rsidRPr="00E36D54" w14:paraId="0C2DFE4B" w14:textId="3CA75C46" w:rsidTr="00876A99">
        <w:trPr>
          <w:trHeight w:val="161"/>
        </w:trPr>
        <w:tc>
          <w:tcPr>
            <w:tcW w:w="1499" w:type="dxa"/>
            <w:shd w:val="clear" w:color="auto" w:fill="auto"/>
            <w:tcMar>
              <w:left w:w="115" w:type="dxa"/>
            </w:tcMar>
            <w:vAlign w:val="center"/>
          </w:tcPr>
          <w:p w14:paraId="4003C8E7" w14:textId="432A1497" w:rsidR="00654D82" w:rsidRPr="00E36D54" w:rsidRDefault="00654D82" w:rsidP="00654D82">
            <w:pPr>
              <w:spacing w:after="0"/>
              <w:rPr>
                <w:rFonts w:eastAsia="Times New Roman" w:cstheme="minorHAnsi"/>
                <w:bCs/>
              </w:rPr>
            </w:pPr>
            <w:r w:rsidRPr="00E36D54">
              <w:rPr>
                <w:rFonts w:cstheme="minorHAnsi"/>
                <w:b/>
                <w:color w:val="000000" w:themeColor="text1"/>
              </w:rPr>
              <w:t>Professional Dress</w:t>
            </w:r>
          </w:p>
        </w:tc>
        <w:tc>
          <w:tcPr>
            <w:tcW w:w="3356" w:type="dxa"/>
            <w:shd w:val="clear" w:color="auto" w:fill="auto"/>
            <w:tcMar>
              <w:left w:w="115" w:type="dxa"/>
            </w:tcMar>
            <w:vAlign w:val="center"/>
          </w:tcPr>
          <w:p w14:paraId="6653E038" w14:textId="4B37F44B" w:rsidR="00654D82" w:rsidRDefault="00E02ED5" w:rsidP="00654D82">
            <w:pPr>
              <w:spacing w:after="0"/>
              <w:rPr>
                <w:rFonts w:eastAsia="Times New Roman" w:cstheme="minorHAnsi"/>
              </w:rPr>
            </w:pPr>
            <w:r>
              <w:rPr>
                <w:rFonts w:eastAsia="Times New Roman" w:cstheme="minorHAnsi"/>
              </w:rPr>
              <w:t xml:space="preserve">All students are required to dress professional for all major speeches (intro, demo, information, group, and persuasive).   Per policy in syllabus, failure to dress appropriately for a speech 10% off there speech grade.   This is reflect in the speech rubrics.  </w:t>
            </w:r>
          </w:p>
          <w:p w14:paraId="6C3F28E5" w14:textId="0C6CDED3" w:rsidR="00E02ED5" w:rsidRPr="00E36D54" w:rsidRDefault="00E02ED5" w:rsidP="00654D82">
            <w:pPr>
              <w:spacing w:after="0"/>
              <w:rPr>
                <w:rFonts w:eastAsia="Times New Roman" w:cstheme="minorHAnsi"/>
              </w:rPr>
            </w:pPr>
            <w:r>
              <w:rPr>
                <w:rFonts w:eastAsia="Times New Roman" w:cstheme="minorHAnsi"/>
              </w:rPr>
              <w:t>Targe</w:t>
            </w:r>
            <w:r w:rsidR="00876A99">
              <w:rPr>
                <w:rFonts w:eastAsia="Times New Roman" w:cstheme="minorHAnsi"/>
              </w:rPr>
              <w:t xml:space="preserve">t is less and 2% if the students </w:t>
            </w:r>
            <w:r>
              <w:rPr>
                <w:rFonts w:eastAsia="Times New Roman" w:cstheme="minorHAnsi"/>
              </w:rPr>
              <w:t>loss point</w:t>
            </w:r>
            <w:r w:rsidR="00876A99">
              <w:rPr>
                <w:rFonts w:eastAsia="Times New Roman" w:cstheme="minorHAnsi"/>
              </w:rPr>
              <w:t>s</w:t>
            </w:r>
            <w:r>
              <w:rPr>
                <w:rFonts w:eastAsia="Times New Roman" w:cstheme="minorHAnsi"/>
              </w:rPr>
              <w:t xml:space="preserve"> due to improper dress.</w:t>
            </w:r>
          </w:p>
        </w:tc>
        <w:tc>
          <w:tcPr>
            <w:tcW w:w="1538" w:type="dxa"/>
            <w:shd w:val="clear" w:color="auto" w:fill="auto"/>
            <w:tcMar>
              <w:left w:w="115" w:type="dxa"/>
            </w:tcMar>
            <w:vAlign w:val="center"/>
          </w:tcPr>
          <w:p w14:paraId="4E10D75F" w14:textId="77777777" w:rsidR="00654D82" w:rsidRPr="00E36D54" w:rsidRDefault="00654D82" w:rsidP="00654D82">
            <w:pPr>
              <w:spacing w:after="0"/>
              <w:rPr>
                <w:rFonts w:eastAsia="Times New Roman" w:cstheme="minorHAnsi"/>
              </w:rPr>
            </w:pPr>
          </w:p>
        </w:tc>
        <w:tc>
          <w:tcPr>
            <w:tcW w:w="1539" w:type="dxa"/>
            <w:shd w:val="clear" w:color="auto" w:fill="auto"/>
            <w:tcMar>
              <w:left w:w="115" w:type="dxa"/>
            </w:tcMar>
            <w:vAlign w:val="center"/>
          </w:tcPr>
          <w:p w14:paraId="178AED40" w14:textId="0AC32911" w:rsidR="00654D82" w:rsidRPr="00E36D54" w:rsidRDefault="00654D82" w:rsidP="00654D82">
            <w:pPr>
              <w:spacing w:after="0"/>
              <w:rPr>
                <w:rFonts w:eastAsia="Times New Roman" w:cstheme="minorHAnsi"/>
              </w:rPr>
            </w:pPr>
          </w:p>
        </w:tc>
        <w:tc>
          <w:tcPr>
            <w:tcW w:w="1539" w:type="dxa"/>
            <w:shd w:val="clear" w:color="auto" w:fill="auto"/>
            <w:tcMar>
              <w:left w:w="115" w:type="dxa"/>
            </w:tcMar>
          </w:tcPr>
          <w:p w14:paraId="240528D1" w14:textId="77777777" w:rsidR="00654D82" w:rsidRPr="00E36D54" w:rsidRDefault="00654D82" w:rsidP="00654D82">
            <w:pPr>
              <w:spacing w:after="0"/>
              <w:rPr>
                <w:rFonts w:eastAsia="Times New Roman" w:cstheme="minorHAnsi"/>
              </w:rPr>
            </w:pPr>
          </w:p>
        </w:tc>
        <w:tc>
          <w:tcPr>
            <w:tcW w:w="1539" w:type="dxa"/>
            <w:shd w:val="clear" w:color="auto" w:fill="auto"/>
            <w:tcMar>
              <w:left w:w="115" w:type="dxa"/>
            </w:tcMar>
          </w:tcPr>
          <w:p w14:paraId="76829F81" w14:textId="10A22D79" w:rsidR="00654D82" w:rsidRPr="00E36D54" w:rsidRDefault="00654D82" w:rsidP="00654D82">
            <w:pPr>
              <w:spacing w:after="0"/>
              <w:rPr>
                <w:rFonts w:eastAsia="Times New Roman" w:cstheme="minorHAnsi"/>
              </w:rPr>
            </w:pPr>
          </w:p>
        </w:tc>
        <w:tc>
          <w:tcPr>
            <w:tcW w:w="1539" w:type="dxa"/>
          </w:tcPr>
          <w:p w14:paraId="0803886C" w14:textId="77777777" w:rsidR="00654D82" w:rsidRPr="00E36D54" w:rsidRDefault="00654D82" w:rsidP="00654D82">
            <w:pPr>
              <w:spacing w:after="0"/>
              <w:rPr>
                <w:rFonts w:eastAsia="Times New Roman" w:cstheme="minorHAnsi"/>
              </w:rPr>
            </w:pPr>
          </w:p>
        </w:tc>
        <w:tc>
          <w:tcPr>
            <w:tcW w:w="1539" w:type="dxa"/>
          </w:tcPr>
          <w:p w14:paraId="4B7002E0" w14:textId="77777777" w:rsidR="00654D82" w:rsidRPr="00E36D54" w:rsidRDefault="00654D82" w:rsidP="00654D82">
            <w:pPr>
              <w:spacing w:after="0"/>
              <w:rPr>
                <w:rFonts w:eastAsia="Times New Roman" w:cstheme="minorHAnsi"/>
              </w:rPr>
            </w:pPr>
          </w:p>
        </w:tc>
        <w:tc>
          <w:tcPr>
            <w:tcW w:w="3187" w:type="dxa"/>
          </w:tcPr>
          <w:p w14:paraId="7D4C02B8" w14:textId="2139BA01" w:rsidR="00E02ED5" w:rsidRPr="00E36D54" w:rsidRDefault="00E02ED5" w:rsidP="00E02ED5">
            <w:pPr>
              <w:spacing w:after="0"/>
              <w:rPr>
                <w:rFonts w:eastAsia="Times New Roman" w:cstheme="minorHAnsi"/>
              </w:rPr>
            </w:pPr>
            <w:r>
              <w:rPr>
                <w:rFonts w:eastAsia="Times New Roman" w:cstheme="minorHAnsi"/>
              </w:rPr>
              <w:t xml:space="preserve">This information will be pulled </w:t>
            </w:r>
            <w:r w:rsidR="00876A99">
              <w:rPr>
                <w:rFonts w:eastAsia="Times New Roman" w:cstheme="minorHAnsi"/>
              </w:rPr>
              <w:t xml:space="preserve">and analyzed </w:t>
            </w:r>
            <w:r>
              <w:rPr>
                <w:rFonts w:eastAsia="Times New Roman" w:cstheme="minorHAnsi"/>
              </w:rPr>
              <w:t>out of canvas starting fall 2020.</w:t>
            </w:r>
          </w:p>
          <w:p w14:paraId="7B8BC297" w14:textId="6E39A86B" w:rsidR="00E36D54" w:rsidRPr="00E36D54" w:rsidRDefault="00E36D54" w:rsidP="00E36D54">
            <w:pPr>
              <w:spacing w:after="0"/>
              <w:rPr>
                <w:rFonts w:eastAsia="Times New Roman" w:cstheme="minorHAnsi"/>
              </w:rPr>
            </w:pPr>
          </w:p>
        </w:tc>
      </w:tr>
      <w:tr w:rsidR="00876A99" w:rsidRPr="00E36D54" w14:paraId="3778AD44" w14:textId="77777777" w:rsidTr="00876A99">
        <w:trPr>
          <w:trHeight w:val="391"/>
        </w:trPr>
        <w:tc>
          <w:tcPr>
            <w:tcW w:w="1499" w:type="dxa"/>
            <w:shd w:val="clear" w:color="auto" w:fill="auto"/>
            <w:tcMar>
              <w:left w:w="115" w:type="dxa"/>
            </w:tcMar>
          </w:tcPr>
          <w:p w14:paraId="0E4BB0C2" w14:textId="7BEF7E9D" w:rsidR="00876A99" w:rsidRPr="00E36D54" w:rsidRDefault="00876A99" w:rsidP="00876A99">
            <w:pPr>
              <w:spacing w:after="0"/>
              <w:rPr>
                <w:rFonts w:eastAsia="Times New Roman" w:cstheme="minorHAnsi"/>
                <w:bCs/>
              </w:rPr>
            </w:pPr>
            <w:r w:rsidRPr="00E36D54">
              <w:rPr>
                <w:rFonts w:cstheme="minorHAnsi"/>
                <w:b/>
                <w:color w:val="000000" w:themeColor="text1"/>
              </w:rPr>
              <w:t xml:space="preserve">Reflective Listening </w:t>
            </w:r>
          </w:p>
        </w:tc>
        <w:tc>
          <w:tcPr>
            <w:tcW w:w="3356" w:type="dxa"/>
            <w:shd w:val="clear" w:color="auto" w:fill="auto"/>
            <w:tcMar>
              <w:left w:w="115" w:type="dxa"/>
            </w:tcMar>
            <w:vAlign w:val="center"/>
          </w:tcPr>
          <w:p w14:paraId="1C911794" w14:textId="757069A3" w:rsidR="00876A99" w:rsidRDefault="00876A99" w:rsidP="00876A99">
            <w:pPr>
              <w:spacing w:after="0"/>
              <w:rPr>
                <w:rFonts w:eastAsia="Times New Roman" w:cstheme="minorHAnsi"/>
              </w:rPr>
            </w:pPr>
            <w:r>
              <w:rPr>
                <w:rFonts w:eastAsia="Times New Roman" w:cstheme="minorHAnsi"/>
              </w:rPr>
              <w:t>All students are required to do peer evaluations, when other students are speaking.  Two peer evaluation are handed out per student, per speech.  Students are required to do 12 peer evaluations during the term. Student who do more than 12 receive 1/10 point for each additional review they complete.  This score is entered into canvas as a quiz grade at the end of the term</w:t>
            </w:r>
          </w:p>
          <w:p w14:paraId="14CC6A2A" w14:textId="363C814B" w:rsidR="00876A99" w:rsidRDefault="00876A99" w:rsidP="00876A99">
            <w:pPr>
              <w:spacing w:after="0"/>
              <w:rPr>
                <w:rFonts w:eastAsia="Times New Roman" w:cstheme="minorHAnsi"/>
              </w:rPr>
            </w:pPr>
            <w:r>
              <w:rPr>
                <w:rFonts w:eastAsia="Times New Roman" w:cstheme="minorHAnsi"/>
              </w:rPr>
              <w:t>Target is 5</w:t>
            </w:r>
          </w:p>
          <w:p w14:paraId="08C8BA9A" w14:textId="02276DA4" w:rsidR="00876A99" w:rsidRPr="00E36D54" w:rsidRDefault="00876A99" w:rsidP="00876A99">
            <w:pPr>
              <w:spacing w:after="0"/>
              <w:jc w:val="center"/>
              <w:rPr>
                <w:rFonts w:eastAsia="Times New Roman" w:cstheme="minorHAnsi"/>
              </w:rPr>
            </w:pPr>
          </w:p>
        </w:tc>
        <w:tc>
          <w:tcPr>
            <w:tcW w:w="1537" w:type="dxa"/>
            <w:shd w:val="clear" w:color="auto" w:fill="auto"/>
            <w:tcMar>
              <w:left w:w="115" w:type="dxa"/>
            </w:tcMar>
            <w:vAlign w:val="center"/>
          </w:tcPr>
          <w:p w14:paraId="17AB5B4C" w14:textId="77777777" w:rsidR="00876A99" w:rsidRPr="00E36D54" w:rsidRDefault="00876A99" w:rsidP="00876A99">
            <w:pPr>
              <w:spacing w:after="0"/>
              <w:rPr>
                <w:rFonts w:eastAsia="Times New Roman" w:cstheme="minorHAnsi"/>
              </w:rPr>
            </w:pPr>
          </w:p>
        </w:tc>
        <w:tc>
          <w:tcPr>
            <w:tcW w:w="1538" w:type="dxa"/>
            <w:shd w:val="clear" w:color="auto" w:fill="auto"/>
            <w:tcMar>
              <w:left w:w="115" w:type="dxa"/>
            </w:tcMar>
            <w:vAlign w:val="center"/>
          </w:tcPr>
          <w:p w14:paraId="23DA32AD" w14:textId="77777777" w:rsidR="00876A99" w:rsidRPr="00E36D54" w:rsidRDefault="00876A99" w:rsidP="00876A99">
            <w:pPr>
              <w:spacing w:after="0"/>
              <w:rPr>
                <w:rFonts w:eastAsia="Times New Roman" w:cstheme="minorHAnsi"/>
              </w:rPr>
            </w:pPr>
          </w:p>
        </w:tc>
        <w:tc>
          <w:tcPr>
            <w:tcW w:w="1537" w:type="dxa"/>
            <w:shd w:val="clear" w:color="auto" w:fill="auto"/>
            <w:tcMar>
              <w:left w:w="115" w:type="dxa"/>
            </w:tcMar>
          </w:tcPr>
          <w:p w14:paraId="04D6D5F1" w14:textId="77777777" w:rsidR="00876A99" w:rsidRPr="00E36D54" w:rsidRDefault="00876A99" w:rsidP="00876A99">
            <w:pPr>
              <w:spacing w:after="0"/>
              <w:rPr>
                <w:rFonts w:eastAsia="Times New Roman" w:cstheme="minorHAnsi"/>
              </w:rPr>
            </w:pPr>
          </w:p>
        </w:tc>
        <w:tc>
          <w:tcPr>
            <w:tcW w:w="1538" w:type="dxa"/>
            <w:shd w:val="clear" w:color="auto" w:fill="auto"/>
            <w:tcMar>
              <w:left w:w="115" w:type="dxa"/>
            </w:tcMar>
            <w:vAlign w:val="center"/>
          </w:tcPr>
          <w:p w14:paraId="40DA2FC7" w14:textId="77777777" w:rsidR="00876A99" w:rsidRPr="00E36D54" w:rsidRDefault="00876A99" w:rsidP="00876A99">
            <w:pPr>
              <w:spacing w:after="0"/>
              <w:rPr>
                <w:rFonts w:eastAsia="Times New Roman" w:cstheme="minorHAnsi"/>
              </w:rPr>
            </w:pPr>
          </w:p>
        </w:tc>
        <w:tc>
          <w:tcPr>
            <w:tcW w:w="1537" w:type="dxa"/>
            <w:shd w:val="clear" w:color="auto" w:fill="auto"/>
            <w:tcMar>
              <w:left w:w="115" w:type="dxa"/>
            </w:tcMar>
          </w:tcPr>
          <w:p w14:paraId="0D67CC19" w14:textId="77777777" w:rsidR="00876A99" w:rsidRPr="00E36D54" w:rsidRDefault="00876A99" w:rsidP="00876A99">
            <w:pPr>
              <w:spacing w:after="0"/>
              <w:rPr>
                <w:rFonts w:eastAsia="Times New Roman" w:cstheme="minorHAnsi"/>
              </w:rPr>
            </w:pPr>
          </w:p>
        </w:tc>
        <w:tc>
          <w:tcPr>
            <w:tcW w:w="1538" w:type="dxa"/>
          </w:tcPr>
          <w:p w14:paraId="1C13017C" w14:textId="77777777" w:rsidR="00876A99" w:rsidRPr="00E36D54" w:rsidRDefault="00876A99" w:rsidP="00876A99">
            <w:pPr>
              <w:spacing w:after="0"/>
              <w:rPr>
                <w:rFonts w:eastAsia="Times New Roman" w:cstheme="minorHAnsi"/>
              </w:rPr>
            </w:pPr>
          </w:p>
        </w:tc>
        <w:tc>
          <w:tcPr>
            <w:tcW w:w="3195" w:type="dxa"/>
          </w:tcPr>
          <w:p w14:paraId="0BAD24E3" w14:textId="77777777" w:rsidR="00876A99" w:rsidRPr="00E36D54" w:rsidRDefault="00876A99" w:rsidP="00876A99">
            <w:pPr>
              <w:spacing w:after="0"/>
              <w:rPr>
                <w:rFonts w:eastAsia="Times New Roman" w:cstheme="minorHAnsi"/>
              </w:rPr>
            </w:pPr>
            <w:r>
              <w:rPr>
                <w:rFonts w:eastAsia="Times New Roman" w:cstheme="minorHAnsi"/>
              </w:rPr>
              <w:t>This information will be pulled and analyzed out of canvas starting fall 2020.</w:t>
            </w:r>
          </w:p>
          <w:p w14:paraId="202CA41A" w14:textId="77777777" w:rsidR="00876A99" w:rsidRPr="00E36D54" w:rsidRDefault="00876A99" w:rsidP="00876A99">
            <w:pPr>
              <w:spacing w:after="0"/>
              <w:rPr>
                <w:rFonts w:eastAsia="Times New Roman" w:cstheme="minorHAnsi"/>
              </w:rPr>
            </w:pPr>
          </w:p>
        </w:tc>
      </w:tr>
    </w:tbl>
    <w:p w14:paraId="03E40C23" w14:textId="05FCFF75" w:rsidR="003D4B30" w:rsidRPr="00E36D54" w:rsidRDefault="003D4B30" w:rsidP="004A6004">
      <w:pPr>
        <w:rPr>
          <w:rFonts w:cstheme="minorHAnsi"/>
          <w:sz w:val="20"/>
          <w:szCs w:val="20"/>
        </w:rPr>
      </w:pPr>
    </w:p>
    <w:sectPr w:rsidR="003D4B30" w:rsidRPr="00E36D54" w:rsidSect="00654D82">
      <w:pgSz w:w="20160" w:h="12240" w:orient="landscape" w:code="5"/>
      <w:pgMar w:top="1440" w:right="1440" w:bottom="1440" w:left="1440" w:header="72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98252" w14:textId="77777777" w:rsidR="00445CDF" w:rsidRDefault="00445CDF">
      <w:pPr>
        <w:spacing w:after="0" w:line="240" w:lineRule="auto"/>
      </w:pPr>
      <w:r>
        <w:separator/>
      </w:r>
    </w:p>
  </w:endnote>
  <w:endnote w:type="continuationSeparator" w:id="0">
    <w:p w14:paraId="5BA25F06" w14:textId="77777777" w:rsidR="00445CDF" w:rsidRDefault="0044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A6683" w14:textId="77777777" w:rsidR="00445CDF" w:rsidRDefault="00445CDF">
      <w:pPr>
        <w:spacing w:after="0" w:line="240" w:lineRule="auto"/>
      </w:pPr>
      <w:r>
        <w:separator/>
      </w:r>
    </w:p>
  </w:footnote>
  <w:footnote w:type="continuationSeparator" w:id="0">
    <w:p w14:paraId="077BB53D" w14:textId="77777777" w:rsidR="00445CDF" w:rsidRDefault="00445C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30"/>
    <w:rsid w:val="000003C4"/>
    <w:rsid w:val="001A5DC4"/>
    <w:rsid w:val="001D1447"/>
    <w:rsid w:val="00212133"/>
    <w:rsid w:val="002F58AF"/>
    <w:rsid w:val="003D4B30"/>
    <w:rsid w:val="00445CDF"/>
    <w:rsid w:val="004A6004"/>
    <w:rsid w:val="005376C1"/>
    <w:rsid w:val="005F1C49"/>
    <w:rsid w:val="00654D82"/>
    <w:rsid w:val="006609D2"/>
    <w:rsid w:val="006B6222"/>
    <w:rsid w:val="006E00C4"/>
    <w:rsid w:val="00736BCE"/>
    <w:rsid w:val="007A356F"/>
    <w:rsid w:val="007E1E24"/>
    <w:rsid w:val="00876A99"/>
    <w:rsid w:val="008A33E1"/>
    <w:rsid w:val="0099061B"/>
    <w:rsid w:val="00C5499F"/>
    <w:rsid w:val="00CA05E7"/>
    <w:rsid w:val="00D16538"/>
    <w:rsid w:val="00E02ED5"/>
    <w:rsid w:val="00E142C4"/>
    <w:rsid w:val="00E36D54"/>
    <w:rsid w:val="00F25C11"/>
    <w:rsid w:val="00FF1A6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36187"/>
  <w15:docId w15:val="{1FB72743-5E49-40C9-815E-577390CC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C4237"/>
  </w:style>
  <w:style w:type="character" w:customStyle="1" w:styleId="FooterChar">
    <w:name w:val="Footer Char"/>
    <w:basedOn w:val="DefaultParagraphFont"/>
    <w:link w:val="Footer"/>
    <w:uiPriority w:val="99"/>
    <w:qFormat/>
    <w:rsid w:val="009C4237"/>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9C4237"/>
    <w:pPr>
      <w:tabs>
        <w:tab w:val="center" w:pos="4680"/>
        <w:tab w:val="right" w:pos="9360"/>
      </w:tabs>
      <w:spacing w:after="0" w:line="240" w:lineRule="auto"/>
    </w:pPr>
  </w:style>
  <w:style w:type="paragraph" w:styleId="Footer">
    <w:name w:val="footer"/>
    <w:basedOn w:val="Normal"/>
    <w:link w:val="FooterChar"/>
    <w:uiPriority w:val="99"/>
    <w:unhideWhenUsed/>
    <w:rsid w:val="009C4237"/>
    <w:pPr>
      <w:tabs>
        <w:tab w:val="center" w:pos="4680"/>
        <w:tab w:val="right" w:pos="9360"/>
      </w:tabs>
      <w:spacing w:after="0" w:line="240" w:lineRule="auto"/>
    </w:pPr>
  </w:style>
  <w:style w:type="table" w:styleId="TableGrid">
    <w:name w:val="Table Grid"/>
    <w:basedOn w:val="TableNormal"/>
    <w:rsid w:val="009C4237"/>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78C26F827F7B45B49BF2377032D97F" ma:contentTypeVersion="7" ma:contentTypeDescription="Create a new document." ma:contentTypeScope="" ma:versionID="288625a9825e75a45684da61fa776d64">
  <xsd:schema xmlns:xsd="http://www.w3.org/2001/XMLSchema" xmlns:xs="http://www.w3.org/2001/XMLSchema" xmlns:p="http://schemas.microsoft.com/office/2006/metadata/properties" xmlns:ns1="http://schemas.microsoft.com/sharepoint/v3" xmlns:ns2="dfb56f20-db6f-4f90-ac48-4303331a0287" xmlns:ns3="http://schemas.microsoft.com/sharepoint/v4" targetNamespace="http://schemas.microsoft.com/office/2006/metadata/properties" ma:root="true" ma:fieldsID="000f6388a3dd1d3a25df6d4000e95f9d" ns1:_="" ns2:_="" ns3:_="">
    <xsd:import namespace="http://schemas.microsoft.com/sharepoint/v3"/>
    <xsd:import namespace="dfb56f20-db6f-4f90-ac48-4303331a028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2" nillable="true" ma:displayName="Declared Record" ma:hidden="true" ma:internalName="_vti_ItemDeclaredRecord" ma:readOnly="true">
      <xsd:simpleType>
        <xsd:restriction base="dms:DateTime"/>
      </xsd:simpleType>
    </xsd:element>
    <xsd:element name="_vti_ItemHoldRecordStatus" ma:index="1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b56f20-db6f-4f90-ac48-4303331a02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dfb56f20-db6f-4f90-ac48-4303331a0287">DOCU-10-122</_dlc_DocId>
    <_dlc_DocIdUrl xmlns="dfb56f20-db6f-4f90-ac48-4303331a0287">
      <Url>https://sharept.ncstatecollege.edu/committees/1/assessment-committee/_layouts/DocIdRedir.aspx?ID=DOCU-10-122</Url>
      <Description>DOCU-10-122</Description>
    </_dlc_DocIdUrl>
  </documentManagement>
</p:properties>
</file>

<file path=customXml/itemProps1.xml><?xml version="1.0" encoding="utf-8"?>
<ds:datastoreItem xmlns:ds="http://schemas.openxmlformats.org/officeDocument/2006/customXml" ds:itemID="{ACB07141-C5AC-43B8-89C8-7CAB9DF74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b56f20-db6f-4f90-ac48-4303331a028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689A8-9397-4B9D-8D1B-C1F7D30BB97A}">
  <ds:schemaRefs>
    <ds:schemaRef ds:uri="http://schemas.microsoft.com/sharepoint/events"/>
  </ds:schemaRefs>
</ds:datastoreItem>
</file>

<file path=customXml/itemProps3.xml><?xml version="1.0" encoding="utf-8"?>
<ds:datastoreItem xmlns:ds="http://schemas.openxmlformats.org/officeDocument/2006/customXml" ds:itemID="{0905B670-FF9C-426A-8946-C167E32A9039}">
  <ds:schemaRefs>
    <ds:schemaRef ds:uri="http://schemas.microsoft.com/sharepoint/v3/contenttype/forms"/>
  </ds:schemaRefs>
</ds:datastoreItem>
</file>

<file path=customXml/itemProps4.xml><?xml version="1.0" encoding="utf-8"?>
<ds:datastoreItem xmlns:ds="http://schemas.openxmlformats.org/officeDocument/2006/customXml" ds:itemID="{D547C50E-FD78-47C4-9CE0-CE77A1D68996}">
  <ds:schemaRefs>
    <ds:schemaRef ds:uri="http://schemas.microsoft.com/office/2006/metadata/properties"/>
    <ds:schemaRef ds:uri="http://schemas.microsoft.com/office/infopath/2007/PartnerControls"/>
    <ds:schemaRef ds:uri="http://schemas.microsoft.com/sharepoint/v4"/>
    <ds:schemaRef ds:uri="dfb56f20-db6f-4f90-ac48-4303331a028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 Kamwithi</dc:creator>
  <cp:lastModifiedBy>Steve Haynes</cp:lastModifiedBy>
  <cp:revision>2</cp:revision>
  <dcterms:created xsi:type="dcterms:W3CDTF">2019-11-18T16:50:00Z</dcterms:created>
  <dcterms:modified xsi:type="dcterms:W3CDTF">2019-11-18T16:50:00Z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ntentTypeId">
    <vt:lpwstr>0x0101006C78C26F827F7B45B49BF2377032D97F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lc_DocIdItemGuid">
    <vt:lpwstr>b8ada22a-dde2-44f1-b47b-e42c8fa945ff</vt:lpwstr>
  </property>
</Properties>
</file>